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V 225</w:t>
      </w:r>
    </w:p>
    <w:p>
      <w:r>
        <w:t>Bundesgericht (BGE), 2022-04-27, FR</w:t>
      </w:r>
    </w:p>
    <w:p>
      <w:r>
        <w:rPr>
          <w:b/>
        </w:rPr>
        <w:t xml:space="preserve">Quelle: </w:t>
      </w:r>
      <w:r>
        <w:t>https://mcp.opencaselaw.ch/entscheid/bge_148 V 225</w:t>
      </w:r>
    </w:p>
    <w:p>
      <w:r>
        <w:t>FR: ATF 148 V 225</w:t>
      </w:r>
    </w:p>
    <w:p>
      <w:r>
        <w:t>IT: DTF 148 V 225</w:t>
      </w:r>
    </w:p>
    <w:p>
      <w:pPr>
        <w:pStyle w:val="Heading2"/>
      </w:pPr>
      <w:r>
        <w:t>Regeste</w:t>
      </w:r>
    </w:p>
    <w:p>
      <w:r>
        <w:t>Regeste Art. 44 ATSG; Ablehnung eines Sachverständigen im Bereich der Unfallversicherung. Zusammenfassung der Rechtsprechung betreffend die Ablehnung eines medizinischen Sachverständigen (E. 3). Arbeiten zwei Ärzte tagtäglich in den gleichen Räumlichkeiten einer kleinen Gruppenpraxis, deren Spesen sie teilen, genügt der Umstand, dass einer dieser beiden Ärzte von einem Unfallversicherer mit einer Begutachtung beauftragt werden soll, nachdem der andere bereits als beratender Arzt des gleichen Versicherers eine ärztliche Stellungnahme zum Fall abgegeben hat, um den Anschein der Befangenheit zu erwecken (E. 5).</w:t>
      </w:r>
    </w:p>
    <w:p>
      <w:pPr>
        <w:pStyle w:val="Heading2"/>
      </w:pPr>
      <w:r>
        <w:t>Erwägungen</w:t>
      </w:r>
    </w:p>
    <w:p>
      <w:r>
        <w:rPr>
          <w:b/>
        </w:rPr>
        <w:t>E. 3.1</w:t>
      </w:r>
    </w:p>
    <w:p>
      <w:r>
        <w:t>Selon l' art. 44 LPGA , si l'assureur doit recourir aux services d'un expert indépendant pour élucider les faits, il donne connaissance du nom de celui-ci aux parties; celles-ci peuvent récuser l'expert pour des raisons pertinentes et présenter des contre-propositions. La communication du nom de l'expert doit notamment permettre à l'assuré de reconnaître s'il s'agit d'une personne à l'encontre de laquelle il pourrait disposer d'un motif de récusation. Lorsque l'intéressé soulève des objections quant à la personne de l'expert, l'assureur doit se prononcer à leur sujet avant le commencement de l'expertise ( ATF 146 V 9 consid. 4.2.1 et les références).</w:t>
      </w:r>
    </w:p>
    <w:p>
      <w:r>
        <w:rPr>
          <w:b/>
        </w:rPr>
        <w:t>E. 3.2</w:t>
      </w:r>
    </w:p>
    <w:p>
      <w:r>
        <w:t>Si un motif de récusation n'est découvert qu'au moment de la réalisation de l'expertise ou après celle-ci, le motif de récusation doit être invoqué dès que possible, soit en principe dès que le plaideur a connaissance du motif, faute de quoi il est réputé avoir tacitement renoncé à s'en prévaloir (JACQUES OLIVIER PIGUET, in Commentaire romand, Loi sur la partie générale des assurances sociales, 2018, n° 47 ad art. 44 LPGA ). Il est en effet contraire au principe de la bonne foi d'attendre l'issue d'une procédure pour ensuite, à l'occasion d'un recours, tirer argument d'un motif de récusation qui était connu auparavant ( ATF 140 I 271 consid. 8.4.3; ATF 139 III 120 consid. 3.2.1; ATF 136 III 605 consid. 3.2.2).</w:t>
      </w:r>
    </w:p>
    <w:p>
      <w:r>
        <w:rPr>
          <w:b/>
        </w:rPr>
        <w:t>E. 3.3</w:t>
      </w:r>
    </w:p>
    <w:p>
      <w:r>
        <w:t>Les objections que peut soulever l'assuré à l'encontre de la personne de l'expert peuvent être de nature formelle ou matérielle; les motifs de récusation formels sont ceux prévus par la loi (cf. art. 36 al. 1 LPGA ); d'autres motifs, tels que le manque de compétence dans le domaine médical retenu ou encore un manque d'adéquation personnelle de l'expert, sont de nature matérielle ( ATF 132 V 93 consid. 6.5; arrêt 9C_180/2013 du 31 décembre 2013 consid. 2.3; PIGUET, op. cit., n° 24 ad art. 44 LPGA ).</w:t>
      </w:r>
    </w:p>
    <w:p>
      <w:r>
        <w:rPr>
          <w:b/>
        </w:rPr>
        <w:t>E. 3.4</w:t>
      </w:r>
    </w:p>
    <w:p>
      <w:r>
        <w:t>S'agissant des motifs de récusation formels d'un expert, il y a lieu selon la jurisprudence d'appliquer les mêmes principes que pour la récusation d'un juge ( ATF 137 V 210 consid. 2.1.3; ATF 132 V 93 consid. 7.1; ATF 120 V 357 consid. 3a), qui découlent directement du droit constitutionnel à un tribunal indépendant et impartial garanti par l' art. 30 al. 1 Cst. - qui en la matière a la même portée que l' art. 6 BGE 148 V 225 S. 231 par. 1 CEDH ( ATF 134 I 20 consid. 4.2) - respectivement, pour un expert, des garanties générales de procédure de l' art. 29 al. 1 Cst. , qui assure à cet égard une protection équivalente à celle de l' art. 30 al. 1 Cst. (arrêts 8C_452/2020 du 7 octobre 2021 consid. 2.3.1; 5A_484/2015 du 2 octobre 2015 consid. 2.3.2 et les références). Un expert passe ainsi pour prévenu lorsqu'il existe des circonstances propres à faire naître un doute sur son impartialité. Dans ce domaine, il s'agit toutefois d'un état intérieur dont la preuve est difficile à apporter. C'est pourquoi il n'est pas nécessaire de prouver que la prévention est effective pour récuser un expert. Il suffit que les circonstances donnent l'apparence de la prévention et fassent redouter une activité partiale de l'expert. L'appréciation des circonstances ne peut pas reposer sur les seules impressions de l'expertisé, la méfiance à l'égard de l'expert devant au contraire apparaître comme fondée sur des éléments objectifs ( ATF 132 V 93 consid. 7.1; ATF 120 V 357 consid. 3a et les références). Compte tenu de l'importance considérable que revêtent les expertises médicales en droit des assurances sociales, il y a lieu de poser des exigences élevées quant à l'impartialité de l'expert médical ( ATF 132 V 93 consid. 7.1 in fine; ATF 120 V 357 consid. 3b in fine).</w:t>
      </w:r>
    </w:p>
    <w:p>
      <w:r>
        <w:rPr>
          <w:b/>
        </w:rPr>
        <w:t>E. 3.5</w:t>
      </w:r>
    </w:p>
    <w:p>
      <w:r>
        <w:t>Selon la jurisprudence, le fait qu'un expert, médecin indépendant, ou une institution d'expertises sont régulièrement mandatés par un organe de l'assurance sociale, le nombre d'expertises ou de rapports confiés à l'expert, ainsi que l'étendue des honoraires en résultant ne constituent pas à eux seuls des motifs suffisants pour conclure au manque d'objectivité et à la partialité de l'expert ( ATF 137 V 210 consid. 1.3.3 et les références; arrêt 9C_343/2020 du 22 avril 2021 consid. 4.3; cf. aussi arrêt 8C_112/2010 du 17 août 2010 consid. 4.1). (...)</w:t>
      </w:r>
    </w:p>
    <w:p>
      <w:r>
        <w:rPr>
          <w:b/>
        </w:rPr>
        <w:t>E. 5.1</w:t>
      </w:r>
    </w:p>
    <w:p>
      <w:r>
        <w:t>Examinant le bien-fondé du motif de récusation soulevé par l'intimé à l'encontre de l'expert E., la cour cantonale a constaté qu'il était admis que les docteurs C. et E. exploitaient ensemble un cabinet de groupe et que c'était le premier qui, initialement, avait proposé de confier un mandat d'expertise au second tout en avançant également le nom de deux autres confrères. Quand bien même le docteur C. avait ultérieurement indiqué que le docteur E. et lui-même se limitaient à partager des locaux et les frais y relatifs tout en demeurant indépendants dans l'exercice de leurs activités BGE 148 V 225 S. 232 respectives, une telle constellation était de nature à créer objectivement l'apparence d'une prévention. Force était en effet de constater que deux spécialistes exploitant un même cabinet de groupe - qui plus est, un cabinet de petite taille impliquant des contacts autrement plus fréquents et étroits que ceux d'experts oeuvrant au sein d'un même centre d'expertise - avaient en définitive été sollicités par la recourante aux fins d'émettre des appréciations décisives pour le sort de la cause. Sous cet angle, le motif de récusation invoqué apparaissait donc fondé.</w:t>
      </w:r>
    </w:p>
    <w:p>
      <w:r>
        <w:rPr>
          <w:b/>
        </w:rPr>
        <w:t>E. 5.2</w:t>
      </w:r>
    </w:p>
    <w:p>
      <w:r>
        <w:t>La recourante conteste l'appréciation de la cour cantonale quant à l'existence d'un motif de récusation. Elle soutient que les docteurs C. et E., conformément aux déclarations du premier (cf. let. B.b supra), ne seraient pas "associés" mais ne feraient que partager des locaux et les frais y relatifs tout en demeurant indépendants dans l'exercice de leurs activités respectives. Selon elle, une telle constellation ne serait pas de nature à créer objectivement une apparence de prévention, au vu de la jurisprudence selon laquelle la seule circonstance qu'un expert travaille pour le même institut ou laboratoire ou centre d'expertises qui a déjà émis un avis dans la même affaire n'autorise pas en soi à le croire incapable d'agir avec la neutralité voulue (cf. arrêt 8C_1058/2010 du 1 er juin 2011 consid. 4, dans lequel il s'agissait d'une experte psychiatre oeuvrant au sein du même centre d'expertises qu'un autre expert psychiatre mandaté précédemment dans la même cause). Pour la recourante, "admettre que le fait de partager des locaux serait vecteur d'une apparence de prévention impliquerait des conséquences non négligeables et ouvrirait la porte à l'invocation de toutes sortes de motifs de récusation vis-à-vis des experts".</w:t>
      </w:r>
    </w:p>
    <w:p>
      <w:r>
        <w:rPr>
          <w:b/>
        </w:rPr>
        <w:t>E. 5.3</w:t>
      </w:r>
    </w:p>
    <w:p>
      <w:r>
        <w:t>Quoi qu'en pense la recourante, la situation de deux médecins spécialistes en chirurgie orthopédique qui partagent les locaux et les frais d'un petit cabinet de groupe n'est pas comparable à celle de deux médecins psychiatres qui oeuvrent parallèlement au sein d'un même centre d'expertise pluridisciplinaire. En effet, l'appartenance à un même centre d'expertise, qui n'implique normalement pas une présence régulière dans les mêmes locaux, n'est pas de nature à favoriser des liens plus étroits que ceux pouvant exister entre des spécialistes qui se croisent à l'occasion hors de leur lieu de travail habituel (cf. arrêt 8C_1058/2010 précité consid. 4.6). Il en va en revanche différemment de deux médecins qui, à l'instar des docteurs C. et E., travaillent tous les jours dans les mêmes locaux au sein d'un BGE 148 V 225 S. 233 petit cabinet de groupe dont ils partagent les frais. De tels contacts quotidiens doublés d'une communauté d'intérêts économiques à travers le partage des frais constituent des éléments objectifs suffisants - au vu des exigences élevées posées à l'impartialité des experts médicaux (cf. consid. 3.4 supra) - pour faire naître à tout le moins une apparence de prévention lorsque l'un des associés est désigné comme expert par un assureur accidents alors que son associé a déjà émis un avis médical sur le cas en tant que médecin-conseil dudit assureur. C'est ainsi à bon droit que la cour cantonale a, au vu de ces éléments, retenu une apparence de prévention de l'expert E. Dans ces conditions, il n'est pas nécessaire de trancher le point de savoir si les informations obtenues ensuite de la mesure d'instruction ordonnée par le Tribunal fédéral (cf. let. C.b supra) conduisent également à retenir une apparence de prévention de l'expert E. (cf. consid. 3.5 supra).</w:t>
      </w:r>
    </w:p>
    <w:p>
      <w:r>
        <w:rPr>
          <w:b/>
        </w:rPr>
        <w:t>E. 5.4</w:t>
      </w:r>
    </w:p>
    <w:p>
      <w:r>
        <w:t>Au vu de ce qui précède, l'arrêt attaqué échappe à la critique en tant qu'il retient qu'il existe un motif de récusation à l'encontre du docteur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